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AD" w:rsidRDefault="007750AD">
      <w:pPr>
        <w:rPr>
          <w:rFonts w:ascii="Times New Roman" w:hAnsi="Times New Roman" w:cs="Times New Roman"/>
          <w:b/>
          <w:bCs/>
        </w:rPr>
      </w:pPr>
      <w:r>
        <w:rPr>
          <w:b/>
          <w:bCs/>
        </w:rPr>
        <w:t>Summary3_1</w:t>
      </w:r>
    </w:p>
    <w:p w:rsidR="007750AD" w:rsidRDefault="007750AD">
      <w:pPr>
        <w:rPr>
          <w:i/>
          <w:iCs/>
        </w:rPr>
      </w:pPr>
      <w:r>
        <w:rPr>
          <w:i/>
          <w:iCs/>
        </w:rPr>
        <w:t>Summary (less than 5000 characters) of methods (including criteria) used to determine, for each flood scenario the indicative number of inhabitants affected (art 6.5.a.) (less then 5000 character)</w:t>
      </w:r>
    </w:p>
    <w:p w:rsidR="007750AD" w:rsidRDefault="007750AD">
      <w:pPr>
        <w:rPr>
          <w:color w:val="4F81BD"/>
        </w:rPr>
      </w:pPr>
      <w:r>
        <w:rPr>
          <w:color w:val="4F81BD"/>
        </w:rPr>
        <w:t>Az érintett lakosszámot a települések állandó lakosszáma alapján becsüljük veszély-kategóriánként és az elöntés típusok alapján. Alapadatként 2001-es</w:t>
      </w:r>
      <w:r w:rsidR="001A7679">
        <w:rPr>
          <w:color w:val="4F81BD"/>
        </w:rPr>
        <w:t xml:space="preserve"> települési lakossági</w:t>
      </w:r>
      <w:r>
        <w:rPr>
          <w:color w:val="4F81BD"/>
        </w:rPr>
        <w:t xml:space="preserve"> adatokat tudtunk felhasználni. A veszélytérképek által meghatározott elöntési kontúrral válogattuk le az érintett településeket. A számított lakosszám felülbecsült, mivel ha egy település, akár csak kis mértékben is érintett, akkor is a teljes lakosszámmal számoltunk (eltekintve Budapesttől, ahol becsültünk az elöntési mérték arányában érintett lakosszámot), és elhanyagoltuk az érintettség százalékos arányát. Az értékelésből nem mutatható be, hogy az érintett lakosok milyen mértékű veszélynek vannak kitéve. A turizmussal és az éjjeli és nappali lakosszám különbséggel nem számoltunk.</w:t>
      </w:r>
    </w:p>
    <w:p w:rsidR="007750AD" w:rsidRDefault="007750AD">
      <w:pPr>
        <w:rPr>
          <w:color w:val="4F81BD"/>
        </w:rPr>
      </w:pPr>
      <w:r>
        <w:rPr>
          <w:color w:val="4F81BD"/>
        </w:rPr>
        <w:t>A térképeken a népesség alapján ábrázoltuk a településeket, mely alapján megtekinthető az érintett települések nagysága, amely következtetni enged a településnek az emberi élet veszélyeztetettségével kapcsolatos kockázatosságára is.</w:t>
      </w:r>
    </w:p>
    <w:p w:rsidR="007750AD" w:rsidRDefault="007750AD">
      <w:pPr>
        <w:rPr>
          <w:color w:val="4F81BD"/>
        </w:rPr>
      </w:pPr>
      <w:r>
        <w:rPr>
          <w:color w:val="4F81BD"/>
        </w:rPr>
        <w:t>Az érintett lakosság tekintetében nem tudtuk vizsgálni a kisvízfolyások mentén érintett lakosszámot, mely a jelenleg becsült értéket még jelentősen befolyásolhatja.</w:t>
      </w:r>
    </w:p>
    <w:p w:rsidR="007750AD" w:rsidRDefault="007750AD">
      <w:pPr>
        <w:rPr>
          <w:rFonts w:ascii="Times New Roman" w:hAnsi="Times New Roman" w:cs="Times New Roman"/>
        </w:rPr>
      </w:pPr>
    </w:p>
    <w:p w:rsidR="007750AD" w:rsidRDefault="007750AD">
      <w:pPr>
        <w:rPr>
          <w:b/>
          <w:bCs/>
        </w:rPr>
      </w:pPr>
      <w:r>
        <w:rPr>
          <w:b/>
          <w:bCs/>
        </w:rPr>
        <w:t>Summary3_2</w:t>
      </w:r>
    </w:p>
    <w:p w:rsidR="007750AD" w:rsidRDefault="007750AD">
      <w:r>
        <w:t>Summary (less than 5000 characters) of methods (including criteria) used to determine, for each flood scenario the type of economic activity affected (art 6.5.b (less than 5000 characters)</w:t>
      </w:r>
    </w:p>
    <w:p w:rsidR="007750AD" w:rsidRDefault="007750AD">
      <w:pPr>
        <w:rPr>
          <w:color w:val="4F81BD"/>
        </w:rPr>
      </w:pPr>
      <w:r>
        <w:rPr>
          <w:color w:val="4F81BD"/>
        </w:rPr>
        <w:t xml:space="preserve">A gazdasági tevékenységgel kapcsolatos térképen bemutatjuk az országos területhasználatot a Corine felszínborítás szerint, az érintett út-, vasúthálózatot az Országos Rendezési Tervalapján és a következő pontszerű létesítményeket, melyek gazdasági tevékenységgel összefüggésbe hozhatóak: Seveso létesítmények, kiemelt hőerőművek, kiemelt szennyvíztisztító telepek és egyéb ipari létesítmények, illetve külön kiemeltük a repülőtereket és a kikötőket. A pontszerű adatok csak korlátozott részletességgel állnak rendelkezésre, későbbi bővítésük szükséges körültekintő értékeléshez. A pontszerű adatok a vízgyűjtő-gazdálkodási tervezésből származnak. </w:t>
      </w:r>
    </w:p>
    <w:p w:rsidR="007750AD" w:rsidRDefault="007750AD">
      <w:pPr>
        <w:rPr>
          <w:rFonts w:ascii="Times New Roman" w:hAnsi="Times New Roman" w:cs="Times New Roman"/>
          <w:color w:val="4F81BD"/>
        </w:rPr>
      </w:pPr>
      <w:r>
        <w:rPr>
          <w:color w:val="4F81BD"/>
        </w:rPr>
        <w:t>A gazdasági tevékenységek érintettségéhez igen csekély mértékben álltak rendelkezésre adatok ezért az ábrázolt értékek csak kis mértékben képesek bemutatni a gazdasági tevékenység érintettségét. A bemutatott értékek mellé nem rendeltünk vagyonértékeket, mivel az értékelés ezt nem kéri, ugyanakkor ennek ismerete és a sérülékenység ismerete elengedhetetlenek egy vagyoni, gazdasági jellegű értékeléshez, a gazdasági vagyonérték becsléséhez, a kockázatok számításához és a kockázatkezelési tervezéshez.</w:t>
      </w:r>
    </w:p>
    <w:p w:rsidR="007750AD" w:rsidRDefault="007750AD">
      <w:pPr>
        <w:rPr>
          <w:rFonts w:ascii="Times New Roman" w:hAnsi="Times New Roman" w:cs="Times New Roman"/>
          <w:color w:val="4F81BD"/>
        </w:rPr>
      </w:pPr>
      <w:r>
        <w:rPr>
          <w:rFonts w:ascii="Times New Roman" w:hAnsi="Times New Roman" w:cs="Times New Roman"/>
          <w:color w:val="4F81BD"/>
        </w:rPr>
        <w:t xml:space="preserve"> </w:t>
      </w:r>
    </w:p>
    <w:p w:rsidR="007750AD" w:rsidRDefault="007750AD">
      <w:pPr>
        <w:rPr>
          <w:b/>
          <w:bCs/>
        </w:rPr>
      </w:pPr>
      <w:r>
        <w:rPr>
          <w:b/>
          <w:bCs/>
        </w:rPr>
        <w:t>Summary3_3</w:t>
      </w:r>
    </w:p>
    <w:p w:rsidR="007750AD" w:rsidRDefault="007750AD">
      <w:r>
        <w:t>Summary (less than 5000 characters) of methods (including criteria) used to determine, for each flood scenario the location of IED installations (art 6.5.c) (less than 5000 characters)</w:t>
      </w:r>
    </w:p>
    <w:p w:rsidR="007750AD" w:rsidRDefault="007750AD">
      <w:pPr>
        <w:rPr>
          <w:rFonts w:ascii="Times New Roman" w:hAnsi="Times New Roman" w:cs="Times New Roman"/>
          <w:color w:val="4F81BD"/>
        </w:rPr>
      </w:pPr>
      <w:r>
        <w:rPr>
          <w:color w:val="4F81BD"/>
        </w:rPr>
        <w:lastRenderedPageBreak/>
        <w:t xml:space="preserve">Az IED létesítmények alatt Magyarországon az E-PRTR adatbázisban gyűjtött létesítményeket értjük. Ezeket a létesítményeket a térképen bemutatjuk és az értékelés során vizsgáljuk érintettségüket az egyes veszély-kategóriák és elöntési valószínűségek szerint. Az érintett E-PRTR létesítményeket osztályba sorolásuk szerint azonosítottuk az IED besorolással és az értékelésnél ezt a besorolását is megadtuk az E-PRTR besorolás mellett. Hiányosság az értékelés szempontjából, hogy az E-PRTR létesítmények nem rendelkeznek NACE azonosítóval. </w:t>
      </w:r>
    </w:p>
    <w:p w:rsidR="007750AD" w:rsidRDefault="007750AD">
      <w:pPr>
        <w:rPr>
          <w:rFonts w:ascii="Times New Roman" w:hAnsi="Times New Roman" w:cs="Times New Roman"/>
          <w:color w:val="4F81BD"/>
        </w:rPr>
      </w:pPr>
    </w:p>
    <w:p w:rsidR="007750AD" w:rsidRDefault="007750AD">
      <w:pPr>
        <w:keepNext/>
        <w:rPr>
          <w:b/>
          <w:bCs/>
        </w:rPr>
      </w:pPr>
      <w:r>
        <w:rPr>
          <w:b/>
          <w:bCs/>
        </w:rPr>
        <w:t>Summary3_4</w:t>
      </w:r>
    </w:p>
    <w:p w:rsidR="007750AD" w:rsidRDefault="007750AD">
      <w:r>
        <w:t>Summary (less than 5000 characters) of methods (including criteria) used to determine, for each flood scenario the impact on WFD protected areas (art 6.5.c) (less than 5000 characters)</w:t>
      </w:r>
    </w:p>
    <w:p w:rsidR="007750AD" w:rsidRDefault="007750AD">
      <w:pPr>
        <w:rPr>
          <w:color w:val="4F81BD"/>
        </w:rPr>
      </w:pPr>
      <w:r>
        <w:rPr>
          <w:color w:val="4F81BD"/>
        </w:rPr>
        <w:t xml:space="preserve">A védett területek térképezése során a következő területek érintettségét nézzük: ivóvízbázisok (felszíni ivóvízkivételi területek védőterületei, üzemelő és távlat ivóvízbázisok területei), a rekreációs területeket (fürdőhellyel érintett víztestek és állóvizek, fürdőhelyeket és vízi turizmust), az élőhely védelmi területeket (Nemzetközi védett természeti területek (ramsari), madárvédelmi területek, különleges természet-megőrzési területek, különleges vizes természet-megőrzési területek, nemzeti parkok, tájvédelmi körzetek, tájvédelmi területek), és bemutatjuk a vízgyűjtő-gazdálkodási adatok alapján a felszíni víztestek és felszíni vizektől függő felszín alatti víztestek állapotát. </w:t>
      </w:r>
    </w:p>
    <w:p w:rsidR="007750AD" w:rsidRDefault="007750AD">
      <w:pPr>
        <w:rPr>
          <w:rFonts w:ascii="Times New Roman" w:hAnsi="Times New Roman" w:cs="Times New Roman"/>
          <w:color w:val="4F81BD"/>
        </w:rPr>
      </w:pPr>
      <w:r>
        <w:rPr>
          <w:color w:val="4F81BD"/>
        </w:rPr>
        <w:t>Az adatok a vízgyűjtő-gazdálkodási tervezésből származnak, az ivóvízbázisok, a fürdővizek és a védett természeti területek állományát frissítettük. Az értékelés során minden olyan területet leválogattunk, melyet árvízi vagy belvízi elöntés fenyeget. A védett területek elöntésre való érzékenységét a jelentés keretiben nem vizsgáltuk.</w:t>
      </w:r>
    </w:p>
    <w:p w:rsidR="007750AD" w:rsidRDefault="007750AD">
      <w:pPr>
        <w:rPr>
          <w:rFonts w:ascii="Times New Roman" w:hAnsi="Times New Roman" w:cs="Times New Roman"/>
          <w:color w:val="4F81BD"/>
        </w:rPr>
      </w:pPr>
    </w:p>
    <w:p w:rsidR="007750AD" w:rsidRDefault="007750AD">
      <w:pPr>
        <w:rPr>
          <w:b/>
          <w:bCs/>
        </w:rPr>
      </w:pPr>
      <w:r>
        <w:rPr>
          <w:b/>
          <w:bCs/>
        </w:rPr>
        <w:t>Summary3_5</w:t>
      </w:r>
    </w:p>
    <w:p w:rsidR="007750AD" w:rsidRDefault="007750AD">
      <w:r>
        <w:t>Summary (less than 5000 characters) of methods (including criteria) used to determine, for each flood scenario the type of other information considered relevant by Member States (art 6.5.d) (less than 5000 characters)</w:t>
      </w:r>
    </w:p>
    <w:p w:rsidR="007750AD" w:rsidRDefault="007750AD">
      <w:pPr>
        <w:rPr>
          <w:rFonts w:ascii="Times New Roman" w:hAnsi="Times New Roman" w:cs="Times New Roman"/>
          <w:color w:val="4F81BD"/>
        </w:rPr>
      </w:pPr>
      <w:r>
        <w:rPr>
          <w:color w:val="4F81BD"/>
        </w:rPr>
        <w:t xml:space="preserve">Egyéb hatásviselőkkel nem foglalkoztunk, azok értékelése részletesebb vizsgálat tárgyát kell, hogy képezzék és részletesebb adatbázist </w:t>
      </w:r>
      <w:r w:rsidR="001A7679">
        <w:rPr>
          <w:color w:val="4F81BD"/>
        </w:rPr>
        <w:t xml:space="preserve">valamint feldolgozást </w:t>
      </w:r>
      <w:bookmarkStart w:id="0" w:name="_GoBack"/>
      <w:bookmarkEnd w:id="0"/>
      <w:r>
        <w:rPr>
          <w:color w:val="4F81BD"/>
        </w:rPr>
        <w:t>igényelnek.</w:t>
      </w:r>
    </w:p>
    <w:sectPr w:rsidR="007750AD" w:rsidSect="00775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0AD"/>
    <w:rsid w:val="001A7679"/>
    <w:rsid w:val="007750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88C211-9402-44BD-8420-FCD0DFC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636</Words>
  <Characters>4439</Characters>
  <Application>Microsoft Office Word</Application>
  <DocSecurity>0</DocSecurity>
  <Lines>79</Lines>
  <Paragraphs>34</Paragraphs>
  <ScaleCrop>false</ScaleCrop>
  <Company>Microsoft Corporation</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Summary3_1</dc:title>
  <dc:subject/>
  <dc:creator>MS-USER</dc:creator>
  <cp:keywords/>
  <dc:description/>
  <cp:lastModifiedBy>Marton Balint</cp:lastModifiedBy>
  <cp:revision>12</cp:revision>
  <dcterms:created xsi:type="dcterms:W3CDTF">2014-03-17T19:25:00Z</dcterms:created>
  <dcterms:modified xsi:type="dcterms:W3CDTF">2014-03-17T22:55:00Z</dcterms:modified>
</cp:coreProperties>
</file>